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Anyela Katia  Cruz Soto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15010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16/11/1994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anyelakcs@gmail.com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+34613025576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