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Erik</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Tovar Mendez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24/6/2004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+34644847774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eriktomen@gmail.com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20/12/2025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Erik Tovar Mendez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