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Владимир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+359899537382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vladoarheolog@gmail.com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Полина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Михаела Хачерян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11.8.2011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Сияна Хачерян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11.9.2013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