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Kifer Krol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kiferkrol.agata@gmail.com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+46736522434 ,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 Krol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Tymoteusz Krol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Kalina Krol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28.04.2011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