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Janowczyk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milena.janowczyk@gmail.com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+48604418346 ,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Patryk Trawiński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29.01.2016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