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Alyssa McMaugh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