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Daniel Retamal Puig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77316572w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Ariadna Retamal Puig</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21/10/2017</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6/12/2025</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Daniel Retamal Puig</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