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Антонова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+359896122562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viktoria_an@abv.bg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23.3.1996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