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Yordanka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Todorova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ivan_todorov_2000_bg@yahoo.de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+35988298950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14.10.1978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Christian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2.8.2015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Maria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2.8.2015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Victoria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8.2.2017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