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ГАБРИЕЛА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Лозева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+359884131201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glozeva98@gmail.com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18.12.2025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