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Guillaume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Ralu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15FV25819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19/7/1988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Chemin de Beau Regard 18, Froideville, Switzerland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+41775221047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guillaume.ralu@gmail.com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31/12/2025</w:t>
      </w:r>
    </w:p>
    <w:p w:rsidR="00E11653" w:rsidP="003468AA" w:rsidRDefault="00FB0C84" w14:paraId="50EA1560" w14:textId="643A5473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et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en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tant que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père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/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mère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ou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tuteur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gram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de :</w:t>
      </w:r>
      <w:proofErr w:type="gramEnd"/>
    </w:p>
    <w:p w:rsidR="00FB0C84" w:rsidP="00FB0C84" w:rsidRDefault="00FB0C84" w14:paraId="7F361F1D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5A54979D" w14:textId="4FB7D65A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s-ES"/>
        </w:rPr>
        <w:t xml:space="preserve">1.   </w:t>
      </w:r>
      <w:r>
        <w:rPr>
          <w:rFonts w:ascii="Calibri" w:hAnsi="Calibri" w:eastAsia="Calibri" w:cs="Times New Roman"/>
          <w:lang w:val="bg-BG"/>
        </w:rPr>
        <w:t>Vic</w:t>
      </w:r>
      <w:r>
        <w:rPr>
          <w:rFonts w:ascii="Calibri" w:hAnsi="Calibri" w:eastAsia="Calibri" w:cs="Times New Roman"/>
        </w:rPr>
        <w:t xml:space="preserve">                          </w:t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>:</w:t>
      </w:r>
      <w:r>
        <w:rPr>
          <w:rFonts w:ascii="Calibri" w:hAnsi="Calibri" w:eastAsia="Calibri" w:cs="Times New Roman"/>
          <w:lang w:val="bg-BG"/>
        </w:rPr>
        <w:t xml:space="preserve"> </w:t>
      </w:r>
      <w:r>
        <w:rPr>
          <w:rFonts w:ascii="Calibri" w:hAnsi="Calibri" w:eastAsia="Calibri" w:cs="Times New Roman"/>
        </w:rPr>
        <w:t>5/6/2021</w:t>
      </w:r>
    </w:p>
    <w:p w:rsidR="00FB0C84" w:rsidP="00FB0C84" w:rsidRDefault="00FB0C84" w14:paraId="7A495A7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6B1F9D48" w14:textId="4520C76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2.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36E1B34A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BA7F986" w14:textId="1FF2F4D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3.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461C42C6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="00FB0C84" w:rsidP="00FB0C84" w:rsidRDefault="00FB0C84" w14:paraId="453A8F81" w14:textId="0742C39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4.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72A01F14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3D52C98" w14:textId="4A8700F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5.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241C6D1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71926CE3" w14:textId="2DA64522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6.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196836A1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4E048332" w14:textId="2251F4BD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>
        <w:rPr>
          <w:rFonts w:ascii="Calibri" w:hAnsi="Calibri" w:eastAsia="Calibri" w:cs="Times New Roman"/>
          <w:lang w:val="es-ES"/>
        </w:rPr>
        <w:t>7.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Pr="00E11653" w:rsidR="00FB0C84" w:rsidP="003468AA" w:rsidRDefault="00FB0C84" w14:paraId="06B91D9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31/12/2025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Guillaume Ralu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>X</w:t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#xA;#xA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#xA;#xA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47352F"/>
    <w:rsid w:val="005E0035"/>
    <w:rsid w:val="00633FB7"/>
    <w:rsid w:val="00963E53"/>
    <w:rsid w:val="009744FC"/>
    <w:rsid w:val="00AB181C"/>
    <w:rsid w:val="00C1245D"/>
    <w:rsid w:val="00CC7EFD"/>
    <w:rsid w:val="00E11653"/>
    <w:rsid w:val="00FB0C84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3</cp:revision>
  <dcterms:created xsi:type="dcterms:W3CDTF">2023-06-22T13:59:00Z</dcterms:created>
  <dcterms:modified xsi:type="dcterms:W3CDTF">2023-06-22T14:00:00Z</dcterms:modified>
</cp:coreProperties>
</file>