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Lidiya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8.9.1988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+359888880190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lidiq88@abv.bg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Tsankov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Georgi Tsankov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27.6.2019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