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Wantkiewicz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b.wantkiewicz@gmail.com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+48695605255 ,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Wantkiewicz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Anastazja wantkiewicz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29.07.2018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Oliwia Gałan</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19.07.2014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