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Barłoga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lukasz.barloga@outlook.com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+48535535331 ,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Aleksandra Barłoga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22.01.2012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Natalia Barłoga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05.06.2016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Jakub Barłoga</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30.07.2020</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