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Kaabi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edytakaabi@o2.pl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+4860419960 ,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Nel Bogołębska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11.07.2015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Szymon Szymowski</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25.01.2016</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Sara Kaabi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12.02.2012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Amelia Szymowska</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08.07.2014</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Ala Kaabi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07.08.2014</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Weronika Pietrasik</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05.02.2014</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