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ewelina.czapnik1@wp.pl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+48609297372 ,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lis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 lis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Grzegorz Walewski-Sawicki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29.07.2015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