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Sęczkowski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seczkowski11@gmail.com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+48690812835 ,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Sęczkowski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GŁODEK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Alicja Kacprzak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07.05.2014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