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Атанас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Стойчев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stoichev1@abv.bg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+359892208020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9.11.1983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Юлия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12.6.2018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