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Paprocki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matpap1995@interia.pl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+48668966889 ,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Podsiadła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Hanna Podsiadła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15.05.2015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Żabiński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26.08.2014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Zofia Szmytka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07.02.2013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Mikołaj Grzelak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17.07.2013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Mieszko Nawrocki</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21.07.2013</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