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Serhii</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Virchenko</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19/03/1991</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Y9638283D</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+34624800529</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serjvirchenko@gmail.com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Kateryna</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+34643076884</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13/12/2025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13/12/2025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