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Gnyp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po@po.piotrkow.pl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+48516194922 ,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Ivanna Popruha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22.02.2012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Alan Długosz</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10.05.2017</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Leon Barczewski Grodek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09.03.2017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Joanna Bąkowska</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29.10.2008</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Hubert Prażniewski</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11.04.2017</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Wiktoria ZARZYCKA</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28.11.2008</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