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anna.kowalczyk.mail@gmail.com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+48505013475 ,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Borys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Jędrzej Lasota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15.07.2014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