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Iwaszkiewicz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karolina.iwaszkiewicz@nexone.pl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+48503045106 ,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Iwaszkiewicz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