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18/08/1981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+351961372238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margarida45667p@gmail.com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