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sylwietta0809@gmail.com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+48512558078 ,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Ornoch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Róża Dubas</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12.11.2015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Cybulska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Zuzanna Syndler</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16.05.2017</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Zoja Czarczyńska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23.09.2015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