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Hubanova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elenagubanova28@gmail.com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+48731857305 ,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Heorhii Hubanov</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03.05.2012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Lev Halitsyn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16.08.2010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Vladislav Hrechko</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08.11.2023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