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Judit</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Cuenca García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39408458-M</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1/5/1996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+34640074700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juditcuenca15@gmail.com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7/12/2025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Judit Cuenca García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