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+3590879829899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Didonka.899@gmail.com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Трифонов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Трифонов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Милков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