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helena.stolarek@interia.pl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+48539017339 ,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Stolarek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Danuta Stolarek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