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Zhenia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+359899934626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jenimit@abv.bg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Borislav Tinchev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Vasil Tinchev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