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Асен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Галев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asengalev@abv.bg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+359882534594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9.7.1988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Веселина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13.2.2010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Кристиан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14.9.2015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