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Неделчева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+359888636394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mrbancheva@gmail.com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Банчев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Радослав Банчев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