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marta.kaluzna@87wp.pl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+48507743629 ,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Miarczyńska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Zuzanna Dzioba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01.06.2014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Kocimski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Anna Lewandowska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12.11.2014</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Tymon Kacalak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18.06.2014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Katarzyna Lewandowska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15.09.2016</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