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jaume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Marti usach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77833851b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jmusach@gmail.com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+34630905306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1971/8/7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43300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Giulia Martí López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2019/5/30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