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Eva</w:t>
      </w:r>
    </w:p>
    <w:p w:rsidRPr="00827C7F" w:rsidR="000008C2" w:rsidP="000008C2" w:rsidRDefault="000008C2" w14:paraId="6A300439" w14:textId="266BB324">
      <w:r w:rsidRPr="00827C7F">
        <w:t>Cognoms:</w:t>
      </w:r>
      <w:r>
        <w:t xml:space="preserve"> Rodoreda Pitarch</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20/2/1996</w:t>
      </w:r>
    </w:p>
    <w:p w:rsidRPr="00827C7F" w:rsidR="000008C2" w:rsidP="000008C2" w:rsidRDefault="000008C2" w14:paraId="6D6F36E5" w14:textId="3176FDFC">
      <w:r w:rsidRPr="00827C7F">
        <w:t xml:space="preserve">CP: </w:t>
      </w:r>
      <w:r>
        <w:t>08420</w:t>
      </w:r>
    </w:p>
    <w:p w:rsidRPr="00827C7F" w:rsidR="000008C2" w:rsidP="000008C2" w:rsidRDefault="000008C2" w14:paraId="5E99DB50" w14:textId="58468F77">
      <w:r w:rsidRPr="00827C7F">
        <w:t>Mòbil:</w:t>
      </w:r>
      <w:r>
        <w:t xml:space="preserve"> +34663515435</w:t>
      </w:r>
    </w:p>
    <w:p w:rsidRPr="000008C2" w:rsidR="000008C2" w:rsidP="000008C2" w:rsidRDefault="000008C2" w14:paraId="30100AC0" w14:textId="3EB65D6D">
      <w:r w:rsidRPr="00827C7F">
        <w:t>E</w:t>
      </w:r>
      <w:r>
        <w:t>-</w:t>
      </w:r>
      <w:r w:rsidRPr="00827C7F">
        <w:t xml:space="preserve">mail: </w:t>
      </w:r>
      <w:r>
        <w:t>eva.rodoreda@gmail.com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23/12/2025</w:t>
      </w:r>
      <w:r>
        <w:rPr>
          <w:lang w:val="bg-BG"/>
        </w:rPr>
        <w:t xml:space="preserve">                        </w:t>
      </w:r>
      <w:r>
        <w:t xml:space="preserve">                        </w:t>
      </w:r>
      <w:r>
        <w:rPr>
          <w:lang w:val="en-US"/>
        </w:rPr>
        <w:br/>
        <w:t>Eva Rodoreda Pitarch</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