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Ricard Macià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39348278Q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Lluc</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16/11/2008</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Ricard Macià</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