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Tania Hohberger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