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jerry piechowiak</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jerry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piechowiak</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9655 Woods Drive, Skokie, IL, USA Skokie, IL, USA 60077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frostjay1@gmail.com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+16304407722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james</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