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Athanasios</w:t>
      </w:r>
      <w:r w:rsidR="00594BA5">
        <w:rPr>
          <w:sz w:val="20"/>
          <w:szCs w:val="20"/>
          <w:lang w:val="bg-BG"/>
        </w:rPr>
        <w:t xml:space="preserve"> </w:t>
      </w:r>
      <w:r w:rsidRPr="001D0D09">
        <w:rPr>
          <w:sz w:val="20"/>
          <w:szCs w:val="20"/>
        </w:rPr>
        <w:t>Mousas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+306974554720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sakismousas@gmail.com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