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Giesz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europol.transport@op.pl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+48882065039 ,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MarcelvGiesz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Giesz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