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Плаамена Атанасова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Симона пешева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2.7.2020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