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Tylak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wioleta.tylak@gmail.com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+48796157710 ,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 Tylak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07.04.2014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Piotr Tylak</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18.10.2020</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Jakub Tylak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14.11.2015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Bartosz Tylak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26.06.2020</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