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Радостина  Кънчева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10.5.1981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+359899924022</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rotorom@mail.bg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Георги Куманов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11.11.2011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6.12.2025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