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Борислава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Герджикова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gerdzhikova@gmail.com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+359896653765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3.9.1983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Златомира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25.10.2017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13.4.2020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