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Marti Fortuny Braso</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Greta Fortuny Salvat</w:t>
      </w:r>
      <w:r>
        <w:rPr>
          <w:rFonts w:ascii="Calibri" w:hAnsi="Calibri"/>
          <w:lang w:val="en-US"/>
        </w:rPr>
        <w:t xml:space="preserve">                           </w:t>
      </w:r>
      <w:r>
        <w:t xml:space="preserve">               data de naixement:</w:t>
      </w:r>
      <w:r>
        <w:rPr>
          <w:lang w:val="bg-BG"/>
        </w:rPr>
        <w:t xml:space="preserve"> </w:t>
      </w:r>
      <w:r>
        <w:rPr>
          <w:lang w:val="en-US"/>
        </w:rPr>
        <w:t>11/7/2017</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8/12/2025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