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Надя Георгиева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nadejda_ss@abv.bg , Телефон : +3590895763116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16.12.2025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16.12.2025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