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beatamakowska7@interia.pl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+48602745790 ,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Grzegorz Makowski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Dominik Krawczyk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17.10.2014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Magdalena Makowska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09.09.2011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Natan Stencelewski</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10.06.2014</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Filip Krawczyk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08.02.2013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