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Wypchło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darekmeble@interia.pl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+48501305616 ,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Witold Wypchło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2008-12-19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Mateusz Sygdziak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2009-04-12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Dorian Bartczak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2009-01-19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Kacper Chadzyński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2008-08-26</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Mateusz Krzyżański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2008-06-17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Oskar Zięba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2009-01-17</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