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Sarah Sheen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Lucy Sheen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31/10/2012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