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Kristi Kotsatos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13/12/2025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